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BE3" w:rsidRPr="00635BE3" w:rsidRDefault="00635BE3" w:rsidP="00635BE3">
      <w:pPr>
        <w:keepNext/>
        <w:keepLines/>
        <w:spacing w:before="40" w:after="0" w:line="240" w:lineRule="auto"/>
        <w:outlineLvl w:val="2"/>
        <w:rPr>
          <w:rFonts w:ascii="Myriad Pro" w:eastAsia="Arial Unicode MS" w:hAnsi="Myriad Pro" w:cs="Trebuchet MS"/>
          <w:sz w:val="20"/>
          <w:szCs w:val="20"/>
          <w:lang w:eastAsia="pl-PL"/>
        </w:rPr>
      </w:pPr>
      <w:bookmarkStart w:id="0" w:name="_Toc195525226"/>
      <w:r w:rsidRPr="00635BE3">
        <w:rPr>
          <w:rFonts w:ascii="Myriad Pro" w:eastAsia="Times New Roman" w:hAnsi="Myriad Pro" w:cs="Trebuchet MS"/>
          <w:b/>
          <w:iCs/>
          <w:sz w:val="20"/>
          <w:szCs w:val="20"/>
          <w:lang w:eastAsia="pl-PL"/>
        </w:rPr>
        <w:t>Załącznik</w:t>
      </w:r>
      <w:r w:rsidRPr="00635BE3">
        <w:rPr>
          <w:rFonts w:ascii="Myriad Pro" w:eastAsia="Times New Roman" w:hAnsi="Myriad Pro" w:cs="Trebuchet MS"/>
          <w:b/>
          <w:bCs/>
          <w:sz w:val="20"/>
          <w:szCs w:val="20"/>
          <w:lang w:eastAsia="pl-PL"/>
        </w:rPr>
        <w:t xml:space="preserve"> nr 4.1</w:t>
      </w:r>
      <w:r w:rsidRPr="00635BE3">
        <w:rPr>
          <w:rFonts w:ascii="Myriad Pro" w:eastAsia="Times New Roman" w:hAnsi="Myriad Pro" w:cs="Trebuchet MS"/>
          <w:sz w:val="20"/>
          <w:szCs w:val="20"/>
          <w:lang w:eastAsia="pl-PL"/>
        </w:rPr>
        <w:t xml:space="preserve"> Zasady postępowania z konfliktem interesów w pracach Komitetu</w:t>
      </w:r>
      <w:bookmarkEnd w:id="0"/>
      <w:r w:rsidRPr="00635BE3">
        <w:rPr>
          <w:rFonts w:ascii="Myriad Pro" w:eastAsia="Times New Roman" w:hAnsi="Myriad Pro" w:cs="Trebuchet MS"/>
          <w:sz w:val="20"/>
          <w:szCs w:val="20"/>
          <w:lang w:eastAsia="pl-PL"/>
        </w:rPr>
        <w:t xml:space="preserve"> </w:t>
      </w:r>
    </w:p>
    <w:p w:rsidR="00635BE3" w:rsidRPr="00635BE3" w:rsidRDefault="00635BE3" w:rsidP="00635BE3">
      <w:pPr>
        <w:shd w:val="clear" w:color="auto" w:fill="FFFFFF"/>
        <w:spacing w:after="0" w:line="276" w:lineRule="auto"/>
        <w:ind w:left="60"/>
        <w:jc w:val="both"/>
        <w:rPr>
          <w:rFonts w:ascii="Myriad Pro" w:eastAsia="Arial Unicode MS" w:hAnsi="Myriad Pro" w:cs="Trebuchet MS"/>
          <w:sz w:val="20"/>
          <w:szCs w:val="20"/>
          <w:lang w:eastAsia="pl-PL"/>
        </w:rPr>
      </w:pPr>
    </w:p>
    <w:p w:rsidR="008E6B6D" w:rsidRPr="00CC135D" w:rsidRDefault="008E6B6D" w:rsidP="008E6B6D">
      <w:pPr>
        <w:pStyle w:val="Akapitzlist"/>
        <w:numPr>
          <w:ilvl w:val="0"/>
          <w:numId w:val="6"/>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Znaczenie konfliktu interesów w pracach Komitetu</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Interesy prywatne mogą wpływać na wykonanie budżetu publicznego za pośrednictwem Komitetu</w:t>
      </w:r>
      <w:r w:rsidRPr="00CC135D">
        <w:rPr>
          <w:rStyle w:val="Odwoanieprzypisudolnego"/>
          <w:rFonts w:ascii="Myriad Pro" w:hAnsi="Myriad Pro" w:cs="Trebuchet MS"/>
          <w:sz w:val="20"/>
          <w:szCs w:val="20"/>
        </w:rPr>
        <w:footnoteReference w:id="1"/>
      </w:r>
      <w:r w:rsidRPr="00CC135D">
        <w:rPr>
          <w:rStyle w:val="Bodytext9"/>
          <w:rFonts w:ascii="Myriad Pro" w:hAnsi="Myriad Pro"/>
          <w:sz w:val="20"/>
          <w:szCs w:val="20"/>
        </w:rPr>
        <w:t xml:space="preserve">  powoływanego przez Instytucję Zarządzającą programem operacyjnym współfinansowanym środkami pochodzącymi z budżetu Unii Europejskiej. </w:t>
      </w:r>
    </w:p>
    <w:p w:rsidR="008E6B6D" w:rsidRPr="00CC135D" w:rsidRDefault="008E6B6D" w:rsidP="008E6B6D">
      <w:pPr>
        <w:shd w:val="clear" w:color="auto" w:fill="FFFFFF"/>
        <w:spacing w:line="360" w:lineRule="auto"/>
        <w:jc w:val="both"/>
        <w:rPr>
          <w:rStyle w:val="Bodytext9"/>
          <w:rFonts w:ascii="Myriad Pro" w:hAnsi="Myriad Pro"/>
          <w:sz w:val="20"/>
          <w:szCs w:val="20"/>
        </w:rPr>
      </w:pP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Integralność wykonania budżetu może być zagrożona, jeżeli na przykład interesy prywatne zdecydowanie ukierunkowują pracę Komitetu lub na nią wpływają. Chociaż wiedza fachowa Komitetu jest rzeczywiście ważna dla jakości procesu decyzyjnego, równie ważne w tym względzie jest, aby skład Komitetu był zrównoważony        i reprezentował poszczególne odpowiednie dziedziny wiedzy fachowej i interesy niezbędne do wykonywania konkretnych zadań lub podejmowania decyzji przez dany podmiot.</w:t>
      </w:r>
    </w:p>
    <w:p w:rsidR="008E6B6D" w:rsidRPr="00CC135D" w:rsidRDefault="008E6B6D" w:rsidP="008E6B6D">
      <w:pPr>
        <w:shd w:val="clear" w:color="auto" w:fill="FFFFFF"/>
        <w:spacing w:line="360" w:lineRule="auto"/>
        <w:jc w:val="both"/>
        <w:rPr>
          <w:rStyle w:val="Bodytext9"/>
          <w:rFonts w:ascii="Myriad Pro" w:hAnsi="Myriad Pro"/>
          <w:sz w:val="20"/>
          <w:szCs w:val="20"/>
        </w:rPr>
      </w:pP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5F113F">
        <w:rPr>
          <w:rStyle w:val="Bodytext9"/>
          <w:rFonts w:ascii="Myriad Pro" w:hAnsi="Myriad Pro"/>
          <w:sz w:val="20"/>
          <w:szCs w:val="20"/>
        </w:rPr>
        <w:t>W odniesieniu do zastosowania art. 61 rozporządzenia finansowego</w:t>
      </w:r>
      <w:r w:rsidRPr="005F113F">
        <w:rPr>
          <w:rStyle w:val="Odwoanieprzypisudolnego"/>
          <w:rFonts w:ascii="Myriad Pro" w:hAnsi="Myriad Pro" w:cs="Trebuchet MS"/>
          <w:sz w:val="20"/>
          <w:szCs w:val="20"/>
        </w:rPr>
        <w:footnoteReference w:id="2"/>
      </w:r>
      <w:r w:rsidRPr="00CC135D">
        <w:rPr>
          <w:rStyle w:val="Bodytext9"/>
          <w:rFonts w:ascii="Myriad Pro" w:hAnsi="Myriad Pro"/>
          <w:sz w:val="20"/>
          <w:szCs w:val="20"/>
        </w:rPr>
        <w:t xml:space="preserve"> względem osób pełniących funkcje                 w Komitecie ważne jest rozróżnienie:</w:t>
      </w:r>
    </w:p>
    <w:p w:rsidR="008E6B6D" w:rsidRPr="00CC135D" w:rsidRDefault="008E6B6D" w:rsidP="008E6B6D">
      <w:pPr>
        <w:pStyle w:val="Akapitzlist"/>
        <w:numPr>
          <w:ilvl w:val="0"/>
          <w:numId w:val="7"/>
        </w:numPr>
        <w:shd w:val="clear" w:color="auto" w:fill="FFFFFF"/>
        <w:spacing w:line="360" w:lineRule="auto"/>
        <w:jc w:val="both"/>
        <w:rPr>
          <w:rStyle w:val="Bodytext9"/>
          <w:rFonts w:ascii="Myriad Pro" w:hAnsi="Myriad Pro"/>
          <w:color w:val="auto"/>
          <w:sz w:val="20"/>
          <w:szCs w:val="20"/>
        </w:rPr>
      </w:pPr>
      <w:r w:rsidRPr="00CC135D">
        <w:rPr>
          <w:rStyle w:val="Bodytext9"/>
          <w:rFonts w:ascii="Myriad Pro" w:hAnsi="Myriad Pro"/>
          <w:color w:val="auto"/>
          <w:sz w:val="20"/>
          <w:szCs w:val="20"/>
        </w:rPr>
        <w:t xml:space="preserve">interesów sektorowych lub społecznych, które dane osoby oficjalnie reprezentują w Komitecie,  </w:t>
      </w:r>
    </w:p>
    <w:p w:rsidR="008E6B6D" w:rsidRPr="00CC135D" w:rsidRDefault="008E6B6D" w:rsidP="008E6B6D">
      <w:pPr>
        <w:pStyle w:val="Akapitzlist"/>
        <w:numPr>
          <w:ilvl w:val="0"/>
          <w:numId w:val="7"/>
        </w:numPr>
        <w:shd w:val="clear" w:color="auto" w:fill="FFFFFF"/>
        <w:spacing w:line="360" w:lineRule="auto"/>
        <w:jc w:val="both"/>
        <w:rPr>
          <w:rStyle w:val="Bodytext9"/>
          <w:rFonts w:ascii="Myriad Pro" w:hAnsi="Myriad Pro"/>
          <w:color w:val="auto"/>
          <w:sz w:val="20"/>
          <w:szCs w:val="20"/>
        </w:rPr>
      </w:pPr>
      <w:r w:rsidRPr="00CC135D">
        <w:rPr>
          <w:rStyle w:val="Bodytext9"/>
          <w:rFonts w:ascii="Myriad Pro" w:hAnsi="Myriad Pro"/>
          <w:color w:val="auto"/>
          <w:sz w:val="20"/>
          <w:szCs w:val="20"/>
        </w:rPr>
        <w:t xml:space="preserve">interesów osobistych tych osób. </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W przypadku wystąpienia interesu osobistego, wynikającego z decyzji podejmowanych przez Komitet, osoba pełniąca funkcje w Komitecie jest zobowiązana do ujawnienia tej sytuacji i wyłączenia się z prac Komitetu nad tą decyzją.</w:t>
      </w:r>
    </w:p>
    <w:p w:rsidR="008E6B6D" w:rsidRPr="00CC135D" w:rsidRDefault="008E6B6D" w:rsidP="008E6B6D">
      <w:pPr>
        <w:shd w:val="clear" w:color="auto" w:fill="FFFFFF"/>
        <w:spacing w:line="360" w:lineRule="auto"/>
        <w:jc w:val="both"/>
        <w:rPr>
          <w:rStyle w:val="Bodytext9"/>
          <w:rFonts w:ascii="Myriad Pro" w:hAnsi="Myriad Pro"/>
          <w:sz w:val="20"/>
          <w:szCs w:val="20"/>
        </w:rPr>
      </w:pPr>
    </w:p>
    <w:p w:rsidR="008E6B6D" w:rsidRPr="00CC135D" w:rsidRDefault="008E6B6D" w:rsidP="008E6B6D">
      <w:pPr>
        <w:pStyle w:val="Akapitzlist"/>
        <w:numPr>
          <w:ilvl w:val="0"/>
          <w:numId w:val="6"/>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Czym jest konflikt interesów</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Konflikt interesów występuje wówczas, gdy bezstronne i obiektywne działanie osoby pełniącej funkcję                       w Komitecie jest zagrożone z uwagi na przesłanki wskazane w art. 61 ust. 3 rozporządzenia finansowego</w:t>
      </w:r>
      <w:r w:rsidRPr="005F113F">
        <w:rPr>
          <w:rStyle w:val="Bodytext9"/>
          <w:rFonts w:ascii="Myriad Pro" w:hAnsi="Myriad Pro"/>
          <w:sz w:val="20"/>
          <w:szCs w:val="20"/>
          <w:vertAlign w:val="superscript"/>
        </w:rPr>
        <w:t>2</w:t>
      </w:r>
      <w:r w:rsidRPr="00CC135D">
        <w:rPr>
          <w:rStyle w:val="Bodytext9"/>
          <w:rFonts w:ascii="Myriad Pro" w:hAnsi="Myriad Pro"/>
          <w:sz w:val="20"/>
          <w:szCs w:val="20"/>
        </w:rPr>
        <w:t xml:space="preserve"> tj.:</w:t>
      </w:r>
    </w:p>
    <w:p w:rsidR="008E6B6D" w:rsidRPr="00CC135D" w:rsidRDefault="008E6B6D" w:rsidP="008E6B6D">
      <w:pPr>
        <w:pStyle w:val="Akapitzlist"/>
        <w:numPr>
          <w:ilvl w:val="0"/>
          <w:numId w:val="4"/>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względy rodzinne i względy emocjonalne (pozytywne i negatywne):</w:t>
      </w:r>
    </w:p>
    <w:p w:rsidR="008E6B6D" w:rsidRPr="00CC135D" w:rsidRDefault="008E6B6D" w:rsidP="008E6B6D">
      <w:pPr>
        <w:pStyle w:val="Akapitzlist"/>
        <w:numPr>
          <w:ilvl w:val="0"/>
          <w:numId w:val="5"/>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nie jest wymagana więź emocjonalna między członkami rodziny, aby bezstronność danej osoby była zagrożona z uwagi na względy rodzinne;</w:t>
      </w:r>
    </w:p>
    <w:p w:rsidR="008E6B6D" w:rsidRPr="00CC135D" w:rsidRDefault="008E6B6D" w:rsidP="008E6B6D">
      <w:pPr>
        <w:pStyle w:val="Akapitzlist"/>
        <w:numPr>
          <w:ilvl w:val="0"/>
          <w:numId w:val="5"/>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 xml:space="preserve">względy rodzinne obejmują: najbliższą rodzinę, tj. co najmniej poniższe relacje, w tym relacje powstałe w wyniku adopcji: małżonek (w tym partner, z którym dana osoba pozostaje                               w (nie)zarejestrowanym wolnym związku), dzieci i rodzice, (pra)dziadkowie i (pra)wnuki, (przyrodni) bracia i siostry (w tym z rodzin mieszanych), wujowie i ciotki, siostrzenice lub bratanice oraz siostrzeńcy lub bratankowie, kuzyni pierwszego stopnia, teściowie, synowe i </w:t>
      </w:r>
      <w:r w:rsidRPr="00CC135D">
        <w:rPr>
          <w:rStyle w:val="Bodytext9"/>
          <w:rFonts w:ascii="Myriad Pro" w:hAnsi="Myriad Pro"/>
          <w:color w:val="auto"/>
          <w:sz w:val="20"/>
          <w:szCs w:val="20"/>
        </w:rPr>
        <w:lastRenderedPageBreak/>
        <w:t>zięciowie, szwagier lub szwagierka, przybrani rodzice, pasierbowie i pasierbice, oraz dalszą rodzinę;</w:t>
      </w:r>
    </w:p>
    <w:p w:rsidR="008E6B6D" w:rsidRPr="00CC135D" w:rsidRDefault="008E6B6D" w:rsidP="008E6B6D">
      <w:pPr>
        <w:pStyle w:val="Akapitzlist"/>
        <w:numPr>
          <w:ilvl w:val="0"/>
          <w:numId w:val="5"/>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osobista przyjaźń (np. także relacje rodzic chrzestny/chrześniak) lub osobista wrogość może prowadzić do sytuacji, w której dana osoba, pozostając w takiej relacji, narazi na szwank swoją bezstronność i obiektywizm;</w:t>
      </w:r>
    </w:p>
    <w:p w:rsidR="008E6B6D" w:rsidRPr="00CC135D" w:rsidRDefault="008E6B6D" w:rsidP="008E6B6D">
      <w:pPr>
        <w:pStyle w:val="Akapitzlist"/>
        <w:numPr>
          <w:ilvl w:val="0"/>
          <w:numId w:val="5"/>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 xml:space="preserve">każdy, kto na stałe mieszka w gospodarstwie domowym danej osoby, znajduje się co najmniej </w:t>
      </w:r>
      <w:r w:rsidRPr="00CC135D">
        <w:rPr>
          <w:rStyle w:val="Bodytext9"/>
          <w:rFonts w:ascii="Myriad Pro" w:hAnsi="Myriad Pro"/>
          <w:color w:val="auto"/>
          <w:sz w:val="20"/>
          <w:szCs w:val="20"/>
        </w:rPr>
        <w:br/>
        <w:t>w sytuacji, która obiektywnie może być postrzegana jako konflikt interesów.</w:t>
      </w:r>
    </w:p>
    <w:p w:rsidR="008E6B6D" w:rsidRPr="00CC135D" w:rsidRDefault="008E6B6D" w:rsidP="008E6B6D">
      <w:pPr>
        <w:pStyle w:val="Akapitzlist"/>
        <w:numPr>
          <w:ilvl w:val="0"/>
          <w:numId w:val="4"/>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sympatie polityczne, np. związki z partiami politycznymi, zaangażowanie w działalność organizacji politycznych (nawet jeśli nie jest ono wynagradzane);</w:t>
      </w:r>
    </w:p>
    <w:p w:rsidR="008E6B6D" w:rsidRPr="00CC135D" w:rsidRDefault="008E6B6D" w:rsidP="008E6B6D">
      <w:pPr>
        <w:pStyle w:val="Akapitzlist"/>
        <w:numPr>
          <w:ilvl w:val="0"/>
          <w:numId w:val="4"/>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związki z jakimkolwiek krajem, ale jedynie takie, które mogłyby zagrażać bezstronności i obiektywizmowi danej osoby;</w:t>
      </w:r>
    </w:p>
    <w:p w:rsidR="008E6B6D" w:rsidRPr="00CC135D" w:rsidRDefault="008E6B6D" w:rsidP="008E6B6D">
      <w:pPr>
        <w:pStyle w:val="Akapitzlist"/>
        <w:numPr>
          <w:ilvl w:val="0"/>
          <w:numId w:val="4"/>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interes gospodarczy;</w:t>
      </w:r>
    </w:p>
    <w:p w:rsidR="008E6B6D" w:rsidRPr="00CC135D" w:rsidRDefault="008E6B6D" w:rsidP="008E6B6D">
      <w:pPr>
        <w:pStyle w:val="Akapitzlist"/>
        <w:numPr>
          <w:ilvl w:val="0"/>
          <w:numId w:val="4"/>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jakiekolwiek inne bezpośrednie lub pośrednie interesy osobiste, np. dana osoba uzyskuje jakieś prezenty (np. bony, vouchery) lub gościnność od danego podmiotu, awans na wyższe stanowisko w strukturze organizacyjnej, interesy o charakterze nieekonomicznym, konkurujące obowiązki lojalności między jednym podmiotem, wobec którego dana osoba jest zobowiązana, a inną osobą lub podmiotem, wobec którego dana osoba jest zobowiązana.</w:t>
      </w:r>
    </w:p>
    <w:p w:rsidR="008E6B6D" w:rsidRPr="00CC135D" w:rsidRDefault="008E6B6D" w:rsidP="008E6B6D">
      <w:pPr>
        <w:shd w:val="clear" w:color="auto" w:fill="FFFFFF"/>
        <w:spacing w:line="360" w:lineRule="auto"/>
        <w:ind w:left="60"/>
        <w:jc w:val="both"/>
        <w:rPr>
          <w:rStyle w:val="Bodytext9"/>
          <w:rFonts w:ascii="Myriad Pro" w:hAnsi="Myriad Pro"/>
          <w:sz w:val="20"/>
          <w:szCs w:val="20"/>
        </w:rPr>
      </w:pPr>
    </w:p>
    <w:p w:rsidR="008E6B6D" w:rsidRPr="00CC135D" w:rsidRDefault="008E6B6D" w:rsidP="008E6B6D">
      <w:pPr>
        <w:shd w:val="clear" w:color="auto" w:fill="FFFFFF"/>
        <w:spacing w:line="360" w:lineRule="auto"/>
        <w:ind w:left="60"/>
        <w:jc w:val="both"/>
        <w:rPr>
          <w:rStyle w:val="Bodytext9"/>
          <w:rFonts w:ascii="Myriad Pro" w:hAnsi="Myriad Pro"/>
          <w:sz w:val="20"/>
          <w:szCs w:val="20"/>
        </w:rPr>
      </w:pPr>
      <w:r w:rsidRPr="00CC135D">
        <w:rPr>
          <w:rStyle w:val="Bodytext9"/>
          <w:rFonts w:ascii="Myriad Pro" w:hAnsi="Myriad Pro"/>
          <w:sz w:val="20"/>
          <w:szCs w:val="20"/>
        </w:rPr>
        <w:t>Konflikt interesów dotyczy sytuacji związanych z funkcją pełnioną w Komitecie, w której osoba znajduje się pod wpływem sprzecznych interesów. Konflikt interesów musi być uświadomiony, zindywidualizowany i może wystąpić przede wszystkim w sytuacji, w której Komitet podejmowałby rozstrzygnięcia w indywidualnych sprawach danej osoby lub taka osoba miałaby interes gospodarczy lub osobisty w podjęciu konkretnej decyzji przez Komitet.</w:t>
      </w:r>
    </w:p>
    <w:p w:rsidR="008E6B6D" w:rsidRPr="00CC135D" w:rsidRDefault="008E6B6D" w:rsidP="008E6B6D">
      <w:pPr>
        <w:shd w:val="clear" w:color="auto" w:fill="FFFFFF"/>
        <w:spacing w:line="360" w:lineRule="auto"/>
        <w:ind w:left="60"/>
        <w:jc w:val="both"/>
        <w:rPr>
          <w:rStyle w:val="Bodytext9"/>
          <w:rFonts w:ascii="Myriad Pro" w:hAnsi="Myriad Pro"/>
          <w:sz w:val="20"/>
          <w:szCs w:val="20"/>
        </w:rPr>
      </w:pPr>
    </w:p>
    <w:p w:rsidR="008E6B6D" w:rsidRPr="00CC135D" w:rsidRDefault="008E6B6D" w:rsidP="008E6B6D">
      <w:pPr>
        <w:shd w:val="clear" w:color="auto" w:fill="FFFFFF"/>
        <w:spacing w:line="360" w:lineRule="auto"/>
        <w:ind w:left="60"/>
        <w:jc w:val="both"/>
        <w:rPr>
          <w:rFonts w:ascii="Myriad Pro" w:hAnsi="Myriad Pro" w:cs="Trebuchet MS"/>
          <w:sz w:val="20"/>
          <w:szCs w:val="20"/>
        </w:rPr>
      </w:pPr>
      <w:r w:rsidRPr="00CC135D">
        <w:rPr>
          <w:rStyle w:val="Bodytext9"/>
          <w:rFonts w:ascii="Myriad Pro" w:hAnsi="Myriad Pro"/>
          <w:sz w:val="20"/>
          <w:szCs w:val="20"/>
        </w:rPr>
        <w:t xml:space="preserve">Osoby pełniące funkcje w Komitecie </w:t>
      </w:r>
      <w:r w:rsidRPr="00CC135D">
        <w:rPr>
          <w:rFonts w:ascii="Myriad Pro" w:hAnsi="Myriad Pro" w:cs="Trebuchet MS"/>
          <w:sz w:val="20"/>
          <w:szCs w:val="20"/>
        </w:rPr>
        <w:t xml:space="preserve">mogą brać udział m.in. w konsultacjach i zatwierdzaniu kryteriów wyboru projektów, nawet jeśli podmioty, które reprezentują są potencjalnymi wnioskodawcami w danym naborze. Wymagana jest każdorazowa weryfikacji istnienia ryzyka konfliktu interesów w zakresie wskazanym w art. 61 </w:t>
      </w:r>
      <w:r w:rsidRPr="008805F6">
        <w:rPr>
          <w:rFonts w:ascii="Myriad Pro" w:hAnsi="Myriad Pro" w:cs="Trebuchet MS"/>
          <w:sz w:val="20"/>
          <w:szCs w:val="20"/>
        </w:rPr>
        <w:t xml:space="preserve">rozporządzenia finansowego </w:t>
      </w:r>
      <w:r w:rsidRPr="005F113F">
        <w:rPr>
          <w:rFonts w:ascii="Myriad Pro" w:hAnsi="Myriad Pro" w:cs="Trebuchet MS"/>
          <w:sz w:val="20"/>
          <w:szCs w:val="20"/>
        </w:rPr>
        <w:t>2024/2509</w:t>
      </w:r>
      <w:r>
        <w:rPr>
          <w:rStyle w:val="Odwoanieprzypisudolnego"/>
          <w:rFonts w:ascii="Myriad Pro" w:hAnsi="Myriad Pro" w:cs="Trebuchet MS"/>
          <w:sz w:val="20"/>
          <w:szCs w:val="20"/>
        </w:rPr>
        <w:footnoteReference w:id="3"/>
      </w:r>
      <w:r w:rsidRPr="008805F6">
        <w:rPr>
          <w:rFonts w:ascii="Myriad Pro" w:hAnsi="Myriad Pro" w:cs="Trebuchet MS"/>
          <w:sz w:val="20"/>
          <w:szCs w:val="20"/>
        </w:rPr>
        <w:t>.</w:t>
      </w:r>
    </w:p>
    <w:p w:rsidR="008E6B6D" w:rsidRPr="00CC135D" w:rsidRDefault="008E6B6D" w:rsidP="008E6B6D">
      <w:pPr>
        <w:shd w:val="clear" w:color="auto" w:fill="FFFFFF"/>
        <w:tabs>
          <w:tab w:val="left" w:pos="6640"/>
        </w:tabs>
        <w:spacing w:line="360" w:lineRule="auto"/>
        <w:ind w:left="60"/>
        <w:jc w:val="both"/>
        <w:rPr>
          <w:rStyle w:val="Bodytext9"/>
          <w:rFonts w:ascii="Myriad Pro" w:hAnsi="Myriad Pro"/>
          <w:sz w:val="20"/>
          <w:szCs w:val="20"/>
        </w:rPr>
      </w:pPr>
      <w:r w:rsidRPr="00CC135D">
        <w:rPr>
          <w:rStyle w:val="Bodytext9"/>
          <w:rFonts w:ascii="Myriad Pro" w:hAnsi="Myriad Pro"/>
          <w:sz w:val="20"/>
          <w:szCs w:val="20"/>
        </w:rPr>
        <w:tab/>
      </w:r>
    </w:p>
    <w:p w:rsidR="008E6B6D" w:rsidRPr="00CC135D" w:rsidRDefault="008E6B6D" w:rsidP="008E6B6D">
      <w:pPr>
        <w:shd w:val="clear" w:color="auto" w:fill="FFFFFF"/>
        <w:spacing w:line="360" w:lineRule="auto"/>
        <w:ind w:left="60"/>
        <w:jc w:val="both"/>
        <w:rPr>
          <w:rStyle w:val="Bodytext9"/>
          <w:rFonts w:ascii="Myriad Pro" w:hAnsi="Myriad Pro"/>
          <w:sz w:val="20"/>
          <w:szCs w:val="20"/>
        </w:rPr>
      </w:pPr>
      <w:r w:rsidRPr="00CC135D">
        <w:rPr>
          <w:rStyle w:val="Bodytext9"/>
          <w:rFonts w:ascii="Myriad Pro" w:hAnsi="Myriad Pro"/>
          <w:sz w:val="20"/>
          <w:szCs w:val="20"/>
        </w:rPr>
        <w:t>Wyłączenie się członka Komitetu nie oznacza konieczności automatycznego wyłączenia się jego zastępcy z prac Komitetu.</w:t>
      </w:r>
    </w:p>
    <w:p w:rsidR="008E6B6D" w:rsidRPr="00CC135D" w:rsidRDefault="008E6B6D" w:rsidP="008E6B6D">
      <w:pPr>
        <w:shd w:val="clear" w:color="auto" w:fill="FFFFFF"/>
        <w:spacing w:line="360" w:lineRule="auto"/>
        <w:ind w:left="60"/>
        <w:jc w:val="both"/>
        <w:rPr>
          <w:rStyle w:val="Bodytext9"/>
          <w:rFonts w:ascii="Myriad Pro" w:hAnsi="Myriad Pro"/>
          <w:sz w:val="20"/>
          <w:szCs w:val="20"/>
        </w:rPr>
      </w:pPr>
    </w:p>
    <w:p w:rsidR="008E6B6D" w:rsidRPr="00CC135D" w:rsidRDefault="008E6B6D" w:rsidP="008E6B6D">
      <w:pPr>
        <w:pStyle w:val="Akapitzlist"/>
        <w:numPr>
          <w:ilvl w:val="0"/>
          <w:numId w:val="6"/>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Procedura zgłoszenia konfliktu interesów, o jakiej mowa w §10 ust. 2 Regulaminu Komitetu</w:t>
      </w:r>
    </w:p>
    <w:p w:rsidR="008E6B6D" w:rsidRPr="00CC135D" w:rsidRDefault="008E6B6D" w:rsidP="008E6B6D">
      <w:pPr>
        <w:shd w:val="clear" w:color="auto" w:fill="FFFFFF"/>
        <w:spacing w:line="360" w:lineRule="auto"/>
        <w:jc w:val="both"/>
        <w:rPr>
          <w:rStyle w:val="Bodytext9"/>
          <w:rFonts w:ascii="Myriad Pro" w:hAnsi="Myriad Pro"/>
          <w:b/>
          <w:sz w:val="20"/>
          <w:szCs w:val="20"/>
        </w:rPr>
      </w:pP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b/>
          <w:sz w:val="20"/>
          <w:szCs w:val="20"/>
        </w:rPr>
        <w:t>Aby uniknąć konfliktu interesów należy wyłączyć się ze sprawy.</w:t>
      </w:r>
      <w:r w:rsidRPr="00CC135D">
        <w:rPr>
          <w:rStyle w:val="Bodytext9"/>
          <w:rFonts w:ascii="Myriad Pro" w:hAnsi="Myriad Pro"/>
          <w:sz w:val="20"/>
          <w:szCs w:val="20"/>
        </w:rPr>
        <w:t xml:space="preserve"> W praktyce oznacza to pisemne zgłoszenie zaistniałego konfliktu interesów do sekretariatu Komitetu niezwłocznie po otrzymaniu dokumentów odnośnie spraw, będących przedmiotem prac danego posiedzenia Komitetu. </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Zgłoszenie jest następnie przekazywane Przewodniczącemu Komitetu wraz z informacją, że osoba zgłaszająca wyłącza się z prac Komitetu w zakresie, którego dotyczy konflikt interesów, tj.:</w:t>
      </w:r>
    </w:p>
    <w:p w:rsidR="008E6B6D" w:rsidRPr="00CC135D" w:rsidRDefault="008E6B6D" w:rsidP="008E6B6D">
      <w:pPr>
        <w:pStyle w:val="Akapitzlist"/>
        <w:numPr>
          <w:ilvl w:val="0"/>
          <w:numId w:val="8"/>
        </w:numPr>
        <w:shd w:val="clear" w:color="auto" w:fill="FFFFFF"/>
        <w:spacing w:line="360" w:lineRule="auto"/>
        <w:jc w:val="both"/>
        <w:rPr>
          <w:rStyle w:val="Bodytext9"/>
          <w:rFonts w:ascii="Myriad Pro" w:hAnsi="Myriad Pro"/>
          <w:color w:val="auto"/>
          <w:sz w:val="20"/>
          <w:szCs w:val="20"/>
        </w:rPr>
      </w:pPr>
      <w:r w:rsidRPr="00CC135D">
        <w:rPr>
          <w:rStyle w:val="Bodytext9"/>
          <w:rFonts w:ascii="Myriad Pro" w:hAnsi="Myriad Pro"/>
          <w:color w:val="auto"/>
          <w:sz w:val="20"/>
          <w:szCs w:val="20"/>
        </w:rPr>
        <w:t xml:space="preserve">nie będzie opiniowała dokumentów dotyczących danej sprawy, </w:t>
      </w:r>
    </w:p>
    <w:p w:rsidR="008E6B6D" w:rsidRPr="00CC135D" w:rsidRDefault="008E6B6D" w:rsidP="008E6B6D">
      <w:pPr>
        <w:pStyle w:val="Akapitzlist"/>
        <w:numPr>
          <w:ilvl w:val="0"/>
          <w:numId w:val="8"/>
        </w:numPr>
        <w:shd w:val="clear" w:color="auto" w:fill="FFFFFF"/>
        <w:spacing w:line="360" w:lineRule="auto"/>
        <w:jc w:val="both"/>
        <w:rPr>
          <w:rStyle w:val="Bodytext9"/>
          <w:rFonts w:ascii="Myriad Pro" w:hAnsi="Myriad Pro"/>
          <w:color w:val="auto"/>
          <w:sz w:val="20"/>
          <w:szCs w:val="20"/>
        </w:rPr>
      </w:pPr>
      <w:r w:rsidRPr="00CC135D">
        <w:rPr>
          <w:rStyle w:val="Bodytext9"/>
          <w:rFonts w:ascii="Myriad Pro" w:hAnsi="Myriad Pro"/>
          <w:color w:val="auto"/>
          <w:sz w:val="20"/>
          <w:szCs w:val="20"/>
        </w:rPr>
        <w:t>nie będzie brała udziału w dyskusji nad dokumentami dotyczącymi danej sprawy przed i podczas posiedzenia Komitetu,</w:t>
      </w:r>
    </w:p>
    <w:p w:rsidR="008E6B6D" w:rsidRPr="00CC135D" w:rsidRDefault="008E6B6D" w:rsidP="008E6B6D">
      <w:pPr>
        <w:pStyle w:val="Akapitzlist"/>
        <w:numPr>
          <w:ilvl w:val="0"/>
          <w:numId w:val="8"/>
        </w:numPr>
        <w:shd w:val="clear" w:color="auto" w:fill="FFFFFF"/>
        <w:spacing w:line="360" w:lineRule="auto"/>
        <w:jc w:val="both"/>
        <w:rPr>
          <w:rStyle w:val="Bodytext9"/>
          <w:rFonts w:ascii="Myriad Pro" w:hAnsi="Myriad Pro"/>
          <w:color w:val="auto"/>
          <w:sz w:val="20"/>
          <w:szCs w:val="20"/>
        </w:rPr>
      </w:pPr>
      <w:r w:rsidRPr="00CC135D">
        <w:rPr>
          <w:rStyle w:val="Bodytext9"/>
          <w:rFonts w:ascii="Myriad Pro" w:hAnsi="Myriad Pro"/>
          <w:color w:val="auto"/>
          <w:sz w:val="20"/>
          <w:szCs w:val="20"/>
        </w:rPr>
        <w:t>wyłączy się z głosowania nad daną sprawą.</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Taka osoba może brać udział w pozostałych sprawach,  będących przedmiotem prac Komitetu, względem których konflikt interesu lub okoliczności mogące stanowić konflikt interesu nie występują.</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Podmiot wyznaczający ma prawo upoważnienia innej osoby do udziału w pracach, w przypadku zgłoszenia przez jego stałego przedstawiciela konfliktu interesów.</w:t>
      </w:r>
    </w:p>
    <w:p w:rsidR="008E6B6D" w:rsidRPr="00CC135D" w:rsidRDefault="008E6B6D" w:rsidP="008E6B6D">
      <w:pPr>
        <w:shd w:val="clear" w:color="auto" w:fill="FFFFFF"/>
        <w:spacing w:line="360" w:lineRule="auto"/>
        <w:jc w:val="both"/>
        <w:rPr>
          <w:rStyle w:val="Bodytext9"/>
          <w:rFonts w:ascii="Myriad Pro" w:hAnsi="Myriad Pro"/>
          <w:sz w:val="20"/>
          <w:szCs w:val="20"/>
        </w:rPr>
      </w:pPr>
    </w:p>
    <w:p w:rsidR="008E6B6D" w:rsidRPr="00CC135D" w:rsidRDefault="008E6B6D" w:rsidP="008E6B6D">
      <w:pPr>
        <w:pStyle w:val="Akapitzlist"/>
        <w:numPr>
          <w:ilvl w:val="0"/>
          <w:numId w:val="6"/>
        </w:numPr>
        <w:shd w:val="clear" w:color="auto" w:fill="FFFFFF"/>
        <w:spacing w:before="120" w:after="120" w:line="360" w:lineRule="auto"/>
        <w:contextualSpacing w:val="0"/>
        <w:jc w:val="both"/>
        <w:rPr>
          <w:rStyle w:val="Bodytext9"/>
          <w:rFonts w:ascii="Myriad Pro" w:hAnsi="Myriad Pro"/>
          <w:color w:val="auto"/>
          <w:sz w:val="20"/>
          <w:szCs w:val="20"/>
        </w:rPr>
      </w:pPr>
      <w:r w:rsidRPr="00CC135D">
        <w:rPr>
          <w:rStyle w:val="Bodytext9"/>
          <w:rFonts w:ascii="Myriad Pro" w:hAnsi="Myriad Pro"/>
          <w:color w:val="auto"/>
          <w:sz w:val="20"/>
          <w:szCs w:val="20"/>
        </w:rPr>
        <w:t>Procedura zgłoszenia okoliczności, które mogą stanowić konflikt interesów, o jakiej mowa w §10 ust. 4 Regulaminu Komitetu</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 xml:space="preserve">W sytuacji, kiedy osoba pełniąca funkcję w Komitecie ma wątpliwości, czy okoliczności, w jakich się znajduje, stanowią konflikt interesów, zobowiązana jest zgłosić takie okoliczności Przewodniczącemu Komitetu za pośrednictwem sekretariatu Komitetu.  </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Zgłoszenie należy przekazać niezwłocznie w formie pisemnej, po otrzymaniu dokumentów będących przedmiotem prac danego posiedzenia Komitetu, ale również na każdym innym etapie prac – w momencie kiedy zaszły nowe okoliczności, mające wpływ na bezstronność podejmowanych decyzji. W szczególnie uzasadnionych przypadkach zgłoszenia takich okoliczności można dokonać ustnie Przewodniczącemu (np.               w trakcie posiedzenia Komitetu).</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 xml:space="preserve">Osoba zgłaszająca wstrzymuje się od uczestnictwa w pracach Komitetu i w danym zakresie wyłącza się z prac Komitetu, analogicznie jak w pkt 3. </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Taka osoba może brać udział w pozostałych sprawach, będących przedmiotem prac Komitetu, względem których konflikt interesu lub okoliczności mogące stanowić konflikt interesów nie występują.</w:t>
      </w:r>
    </w:p>
    <w:p w:rsidR="008E6B6D" w:rsidRPr="00CC135D" w:rsidRDefault="008E6B6D" w:rsidP="008E6B6D">
      <w:pPr>
        <w:shd w:val="clear" w:color="auto" w:fill="FFFFFF"/>
        <w:spacing w:before="120" w:after="120" w:line="360" w:lineRule="auto"/>
        <w:jc w:val="both"/>
        <w:rPr>
          <w:rStyle w:val="Bodytext9"/>
          <w:rFonts w:ascii="Myriad Pro" w:hAnsi="Myriad Pro"/>
          <w:sz w:val="20"/>
          <w:szCs w:val="20"/>
        </w:rPr>
      </w:pPr>
      <w:r w:rsidRPr="00CC135D">
        <w:rPr>
          <w:rStyle w:val="Bodytext9"/>
          <w:rFonts w:ascii="Myriad Pro" w:hAnsi="Myriad Pro"/>
          <w:sz w:val="20"/>
          <w:szCs w:val="20"/>
        </w:rPr>
        <w:t>Podmiot wyznaczający ma prawo upoważnienia innej osoby do udziału w pracach, w przypadku zgłoszenia przez jego stałego przedstawiciela okoliczności, które mogą stanowić konflikt interesów.</w:t>
      </w:r>
    </w:p>
    <w:p w:rsidR="008E6B6D" w:rsidRPr="00CC135D" w:rsidRDefault="008E6B6D" w:rsidP="008E6B6D">
      <w:pPr>
        <w:shd w:val="clear" w:color="auto" w:fill="FFFFFF"/>
        <w:spacing w:before="120" w:after="120" w:line="360" w:lineRule="auto"/>
        <w:jc w:val="both"/>
        <w:rPr>
          <w:rStyle w:val="Bodytext9"/>
          <w:rFonts w:ascii="Myriad Pro" w:hAnsi="Myriad Pro"/>
          <w:sz w:val="20"/>
          <w:szCs w:val="20"/>
        </w:rPr>
      </w:pPr>
    </w:p>
    <w:p w:rsidR="008E6B6D" w:rsidRPr="00CC135D" w:rsidRDefault="008E6B6D" w:rsidP="008E6B6D">
      <w:pPr>
        <w:shd w:val="clear" w:color="auto" w:fill="FFFFFF"/>
        <w:spacing w:before="120" w:after="120" w:line="360" w:lineRule="auto"/>
        <w:jc w:val="both"/>
        <w:rPr>
          <w:rStyle w:val="Bodytext9"/>
          <w:rFonts w:ascii="Myriad Pro" w:hAnsi="Myriad Pro"/>
          <w:sz w:val="20"/>
          <w:szCs w:val="20"/>
        </w:rPr>
      </w:pPr>
      <w:r w:rsidRPr="00CC135D">
        <w:rPr>
          <w:rStyle w:val="Bodytext9"/>
          <w:rFonts w:ascii="Myriad Pro" w:hAnsi="Myriad Pro"/>
          <w:sz w:val="20"/>
          <w:szCs w:val="20"/>
        </w:rPr>
        <w:t xml:space="preserve">5.  Nadzór Instytucji Zarządzającej w zakresie przestrzegania zasady bezstronności w podejmowaniu decyzji </w:t>
      </w:r>
    </w:p>
    <w:p w:rsidR="008E6B6D" w:rsidRPr="00CC135D" w:rsidRDefault="008E6B6D" w:rsidP="008E6B6D">
      <w:pPr>
        <w:shd w:val="clear" w:color="auto" w:fill="FFFFFF"/>
        <w:spacing w:line="360" w:lineRule="auto"/>
        <w:jc w:val="both"/>
        <w:rPr>
          <w:rStyle w:val="Bodytext9"/>
          <w:rFonts w:ascii="Myriad Pro" w:hAnsi="Myriad Pro"/>
          <w:sz w:val="20"/>
          <w:szCs w:val="20"/>
        </w:rPr>
      </w:pPr>
      <w:r w:rsidRPr="00CC135D">
        <w:rPr>
          <w:rStyle w:val="Bodytext9"/>
          <w:rFonts w:ascii="Myriad Pro" w:hAnsi="Myriad Pro"/>
          <w:sz w:val="20"/>
          <w:szCs w:val="20"/>
        </w:rPr>
        <w:t xml:space="preserve">W uzasadnionych przypadkach i na podstawie m.in. doniesień medialnych, sygnałów ostrzegawczych lub kontroli uprawnionych instytucji, Przewodniczący Komitetu zleca sekretariatowi Komitetu weryfikację </w:t>
      </w:r>
      <w:r w:rsidRPr="00CC135D">
        <w:rPr>
          <w:rStyle w:val="Bodytext9"/>
          <w:rFonts w:ascii="Myriad Pro" w:hAnsi="Myriad Pro"/>
          <w:sz w:val="20"/>
          <w:szCs w:val="20"/>
        </w:rPr>
        <w:lastRenderedPageBreak/>
        <w:t>pozyskanych informacji dotyczących danej osoby pełniącej funkcję w Komitecie pod kątem istnienia konfliktu interesów, ich wpływu na bezstronność podejmowanych decyzji i zgodność z oświadczeniem złożonym na podstawie § 2 ust. 31, 32 Regulaminu Komitetu. Sekretariat Komitetu weryfikuje powzięte informacje na podstawie ogólnodostępnych danych i wykorzystaniem wewnętrznych procedur dotyczących zapobiegania         i sposobu postępowania w sytuacji wystąpienia korupcji i nadużyć finansowych, w tym konfliktu interesów.</w:t>
      </w:r>
    </w:p>
    <w:p w:rsidR="008E6B6D" w:rsidRPr="00CC135D" w:rsidRDefault="008E6B6D" w:rsidP="008E6B6D">
      <w:pPr>
        <w:spacing w:line="360" w:lineRule="auto"/>
        <w:jc w:val="both"/>
        <w:rPr>
          <w:rStyle w:val="Bodytext9"/>
          <w:rFonts w:ascii="Myriad Pro" w:hAnsi="Myriad Pro"/>
          <w:b/>
          <w:sz w:val="20"/>
          <w:szCs w:val="20"/>
        </w:rPr>
      </w:pPr>
    </w:p>
    <w:p w:rsidR="008E6B6D" w:rsidRPr="00CC135D" w:rsidRDefault="008E6B6D" w:rsidP="008E6B6D">
      <w:pPr>
        <w:spacing w:line="360" w:lineRule="auto"/>
        <w:jc w:val="both"/>
        <w:rPr>
          <w:rStyle w:val="Bodytext9"/>
          <w:rFonts w:ascii="Myriad Pro" w:hAnsi="Myriad Pro"/>
          <w:b/>
          <w:sz w:val="20"/>
          <w:szCs w:val="20"/>
        </w:rPr>
      </w:pPr>
      <w:r w:rsidRPr="00CC135D">
        <w:rPr>
          <w:rStyle w:val="Bodytext9"/>
          <w:rFonts w:ascii="Myriad Pro" w:hAnsi="Myriad Pro"/>
          <w:b/>
          <w:sz w:val="20"/>
          <w:szCs w:val="20"/>
        </w:rPr>
        <w:t>Niewyłączenie się osoby pełniącej funkcję w Komitecie i działanie tej osoby w sytuacji konfliktu interesów stanowi rażące nienależyte wykonywanie obowiązków, przedkładające się na wadliwość prac Komitetu. Przewodniczący Komitetu może w takiej sytuacji wystąpić do podmiotu wyznaczającego</w:t>
      </w:r>
      <w:r>
        <w:rPr>
          <w:rStyle w:val="Bodytext9"/>
          <w:rFonts w:ascii="Myriad Pro" w:hAnsi="Myriad Pro"/>
          <w:b/>
          <w:sz w:val="20"/>
          <w:szCs w:val="20"/>
        </w:rPr>
        <w:t xml:space="preserve"> </w:t>
      </w:r>
      <w:bookmarkStart w:id="1" w:name="_GoBack"/>
      <w:bookmarkEnd w:id="1"/>
      <w:r w:rsidRPr="00CC135D">
        <w:rPr>
          <w:rStyle w:val="Bodytext9"/>
          <w:rFonts w:ascii="Myriad Pro" w:hAnsi="Myriad Pro"/>
          <w:b/>
          <w:sz w:val="20"/>
          <w:szCs w:val="20"/>
        </w:rPr>
        <w:t>o odwołanie przedstawiciela i wskazanie nowego. W uzasadnionych przypadkach osobie dopuszczającej się zatajenia informacji (nieujawnienia istniejącego konfliktu interesów) mogą grozić konsekwencje karne, na zasadach i warunkach wynikających z odrębnych przepisów.</w:t>
      </w:r>
    </w:p>
    <w:p w:rsidR="008E6B6D" w:rsidRPr="00CC135D" w:rsidRDefault="008E6B6D" w:rsidP="008E6B6D">
      <w:pPr>
        <w:spacing w:line="360" w:lineRule="auto"/>
        <w:jc w:val="both"/>
        <w:rPr>
          <w:rStyle w:val="Bodytext9"/>
          <w:rFonts w:ascii="Myriad Pro" w:hAnsi="Myriad Pro"/>
          <w:b/>
          <w:sz w:val="20"/>
          <w:szCs w:val="20"/>
        </w:rPr>
      </w:pPr>
    </w:p>
    <w:p w:rsidR="008E6B6D" w:rsidRPr="00CC135D" w:rsidRDefault="008E6B6D" w:rsidP="008E6B6D">
      <w:pPr>
        <w:spacing w:line="360" w:lineRule="auto"/>
        <w:jc w:val="both"/>
        <w:rPr>
          <w:rStyle w:val="Bodytext9"/>
          <w:rFonts w:ascii="Myriad Pro" w:hAnsi="Myriad Pro"/>
          <w:b/>
          <w:sz w:val="20"/>
          <w:szCs w:val="20"/>
        </w:rPr>
      </w:pPr>
      <w:r w:rsidRPr="00CC135D">
        <w:rPr>
          <w:rStyle w:val="Bodytext9"/>
          <w:rFonts w:ascii="Myriad Pro" w:hAnsi="Myriad Pro"/>
          <w:b/>
          <w:sz w:val="20"/>
          <w:szCs w:val="20"/>
        </w:rPr>
        <w:t xml:space="preserve">Jeżeli konflikt interesów względem obszaru prac w ramach danego posiedzenia Komitetu zaistnieje po posiedzeniu Komitetu, nie oznacza to, że doszło do zatajenia informacji (nieujawnienia istniejącego konfliktu interesów), pod warunkiem, że według najlepszej wiedzy osoby pełniącej funkcję w Komitecie, przed posiedzeniem oraz w jego trakcie nie zaistniały żadne okoliczności, które powodowałyby ryzyko wystąpienia konfliktu interesów lub nie były one jeszcze tej osobie znane. </w:t>
      </w:r>
    </w:p>
    <w:p w:rsidR="007248A0" w:rsidRPr="007248A0" w:rsidRDefault="007248A0" w:rsidP="00635BE3">
      <w:pPr>
        <w:spacing w:after="0" w:line="360" w:lineRule="auto"/>
        <w:jc w:val="both"/>
      </w:pPr>
    </w:p>
    <w:sectPr w:rsidR="007248A0" w:rsidRPr="007248A0" w:rsidSect="007248A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8A0" w:rsidRDefault="007248A0" w:rsidP="007248A0">
      <w:pPr>
        <w:spacing w:after="0" w:line="240" w:lineRule="auto"/>
      </w:pPr>
      <w:r>
        <w:separator/>
      </w:r>
    </w:p>
  </w:endnote>
  <w:endnote w:type="continuationSeparator" w:id="0">
    <w:p w:rsidR="007248A0" w:rsidRDefault="007248A0" w:rsidP="00724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8A0" w:rsidRDefault="007248A0" w:rsidP="007248A0">
      <w:pPr>
        <w:spacing w:after="0" w:line="240" w:lineRule="auto"/>
      </w:pPr>
      <w:r>
        <w:separator/>
      </w:r>
    </w:p>
  </w:footnote>
  <w:footnote w:type="continuationSeparator" w:id="0">
    <w:p w:rsidR="007248A0" w:rsidRDefault="007248A0" w:rsidP="007248A0">
      <w:pPr>
        <w:spacing w:after="0" w:line="240" w:lineRule="auto"/>
      </w:pPr>
      <w:r>
        <w:continuationSeparator/>
      </w:r>
    </w:p>
  </w:footnote>
  <w:footnote w:id="1">
    <w:p w:rsidR="008E6B6D" w:rsidRPr="008805F6" w:rsidRDefault="008E6B6D" w:rsidP="008E6B6D">
      <w:pPr>
        <w:pStyle w:val="Tekstprzypisudolnego"/>
        <w:jc w:val="both"/>
        <w:rPr>
          <w:rStyle w:val="Bodytext9"/>
          <w:rFonts w:ascii="Myriad Pro" w:hAnsi="Myriad Pro"/>
          <w:color w:val="auto"/>
          <w:sz w:val="14"/>
          <w:szCs w:val="14"/>
        </w:rPr>
      </w:pPr>
      <w:r w:rsidRPr="002E697A">
        <w:rPr>
          <w:rStyle w:val="Odwoanieprzypisudolnego"/>
          <w:rFonts w:ascii="Myriad Pro" w:hAnsi="Myriad Pro"/>
          <w:sz w:val="14"/>
          <w:szCs w:val="14"/>
        </w:rPr>
        <w:footnoteRef/>
      </w:r>
      <w:r w:rsidRPr="002E697A">
        <w:rPr>
          <w:rFonts w:ascii="Myriad Pro" w:hAnsi="Myriad Pro"/>
          <w:sz w:val="14"/>
          <w:szCs w:val="14"/>
        </w:rPr>
        <w:t xml:space="preserve"> </w:t>
      </w:r>
      <w:r>
        <w:rPr>
          <w:rStyle w:val="Bodytext9"/>
          <w:rFonts w:ascii="Myriad Pro" w:hAnsi="Myriad Pro"/>
          <w:sz w:val="14"/>
          <w:szCs w:val="14"/>
        </w:rPr>
        <w:t>Komitet został powoływany przez Instytucję Zarządzającą FEPZ i składa się z przedstawicieli organów publicznych, sektora prywatnego lub organizacji społeczeństwa obywatelskiego. Zapewnia Instytucji Zarządzającej FEPZ doradztwo, wiedzę fachową lub zalecenia dotyczące wykonania budżetu</w:t>
      </w:r>
      <w:r w:rsidRPr="008805F6">
        <w:rPr>
          <w:rStyle w:val="Bodytext9"/>
          <w:rFonts w:ascii="Myriad Pro" w:hAnsi="Myriad Pro"/>
          <w:color w:val="auto"/>
          <w:sz w:val="14"/>
          <w:szCs w:val="14"/>
        </w:rPr>
        <w:t>.</w:t>
      </w:r>
    </w:p>
  </w:footnote>
  <w:footnote w:id="2">
    <w:p w:rsidR="008E6B6D" w:rsidRPr="00A72689" w:rsidRDefault="008E6B6D" w:rsidP="008E6B6D">
      <w:pPr>
        <w:pStyle w:val="Tekstprzypisudolnego"/>
        <w:jc w:val="both"/>
        <w:rPr>
          <w:rStyle w:val="Bodytext9"/>
          <w:rFonts w:ascii="Myriad Pro" w:hAnsi="Myriad Pro"/>
          <w:color w:val="auto"/>
          <w:sz w:val="18"/>
        </w:rPr>
      </w:pPr>
      <w:r w:rsidRPr="005F113F">
        <w:rPr>
          <w:rStyle w:val="Odwoanieprzypisudolnego"/>
          <w:rFonts w:ascii="Myriad Pro" w:hAnsi="Myriad Pro"/>
          <w:sz w:val="14"/>
          <w:szCs w:val="14"/>
        </w:rPr>
        <w:footnoteRef/>
      </w:r>
      <w:r w:rsidRPr="005F113F">
        <w:rPr>
          <w:rFonts w:ascii="Myriad Pro" w:hAnsi="Myriad Pro"/>
          <w:sz w:val="14"/>
          <w:szCs w:val="14"/>
        </w:rPr>
        <w:t xml:space="preserve"> </w:t>
      </w:r>
      <w:r w:rsidRPr="005F113F">
        <w:rPr>
          <w:rStyle w:val="Bodytext9"/>
          <w:rFonts w:ascii="Myriad Pro" w:hAnsi="Myriad Pro"/>
          <w:color w:val="auto"/>
          <w:sz w:val="14"/>
          <w:szCs w:val="14"/>
        </w:rPr>
        <w:t xml:space="preserve">Rozporządzenie Parlamentu Europejskiego i Rady (UE, </w:t>
      </w:r>
      <w:proofErr w:type="spellStart"/>
      <w:r w:rsidRPr="005F113F">
        <w:rPr>
          <w:rStyle w:val="Bodytext9"/>
          <w:rFonts w:ascii="Myriad Pro" w:hAnsi="Myriad Pro"/>
          <w:color w:val="auto"/>
          <w:sz w:val="14"/>
          <w:szCs w:val="14"/>
        </w:rPr>
        <w:t>Euratom</w:t>
      </w:r>
      <w:proofErr w:type="spellEnd"/>
      <w:r w:rsidRPr="005F113F">
        <w:rPr>
          <w:rStyle w:val="Bodytext9"/>
          <w:rFonts w:ascii="Myriad Pro" w:hAnsi="Myriad Pro"/>
          <w:color w:val="auto"/>
          <w:sz w:val="14"/>
          <w:szCs w:val="14"/>
        </w:rPr>
        <w:t>) 2024/2509 z dnia 23 września 2025 r. w sprawie zasad finansowych mających zastosowanie do budżetu ogólnego Unii.</w:t>
      </w:r>
    </w:p>
  </w:footnote>
  <w:footnote w:id="3">
    <w:p w:rsidR="008E6B6D" w:rsidRDefault="008E6B6D" w:rsidP="008E6B6D">
      <w:pPr>
        <w:pStyle w:val="Tekstprzypisudolnego"/>
      </w:pPr>
      <w:r>
        <w:rPr>
          <w:rStyle w:val="Odwoanieprzypisudolnego"/>
        </w:rPr>
        <w:footnoteRef/>
      </w:r>
      <w:r>
        <w:t xml:space="preserve"> </w:t>
      </w:r>
      <w:r w:rsidRPr="005F113F">
        <w:rPr>
          <w:rFonts w:ascii="Myriad Pro" w:hAnsi="Myriad Pro"/>
          <w:sz w:val="16"/>
        </w:rPr>
        <w:t>ibidem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03A94"/>
    <w:multiLevelType w:val="hybridMultilevel"/>
    <w:tmpl w:val="F1607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06ED3"/>
    <w:multiLevelType w:val="hybridMultilevel"/>
    <w:tmpl w:val="60109C88"/>
    <w:lvl w:ilvl="0" w:tplc="C09A59B8">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 w15:restartNumberingAfterBreak="0">
    <w:nsid w:val="2B411A9E"/>
    <w:multiLevelType w:val="hybridMultilevel"/>
    <w:tmpl w:val="9EB2B7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F240D35"/>
    <w:multiLevelType w:val="hybridMultilevel"/>
    <w:tmpl w:val="B1569BAA"/>
    <w:lvl w:ilvl="0" w:tplc="0A7C99C8">
      <w:start w:val="1"/>
      <w:numFmt w:val="lowerLetter"/>
      <w:lvlText w:val="%1."/>
      <w:lvlJc w:val="left"/>
      <w:pPr>
        <w:ind w:left="825" w:hanging="360"/>
      </w:pPr>
      <w:rPr>
        <w:rFonts w:hint="default"/>
        <w:b w:val="0"/>
        <w:i w:val="0"/>
        <w:color w:val="auto"/>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4" w15:restartNumberingAfterBreak="0">
    <w:nsid w:val="4B16538C"/>
    <w:multiLevelType w:val="hybridMultilevel"/>
    <w:tmpl w:val="CDF01788"/>
    <w:lvl w:ilvl="0" w:tplc="0415001B">
      <w:start w:val="1"/>
      <w:numFmt w:val="lowerRoman"/>
      <w:lvlText w:val="%1."/>
      <w:lvlJc w:val="righ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 w15:restartNumberingAfterBreak="0">
    <w:nsid w:val="527A4EA5"/>
    <w:multiLevelType w:val="hybridMultilevel"/>
    <w:tmpl w:val="3D681ECA"/>
    <w:lvl w:ilvl="0" w:tplc="04150017">
      <w:start w:val="1"/>
      <w:numFmt w:val="lowerLetter"/>
      <w:lvlText w:val="%1)"/>
      <w:lvlJc w:val="left"/>
      <w:pPr>
        <w:ind w:left="1020" w:hanging="360"/>
      </w:pPr>
    </w:lvl>
    <w:lvl w:ilvl="1" w:tplc="04150019">
      <w:start w:val="1"/>
      <w:numFmt w:val="lowerLetter"/>
      <w:lvlText w:val="%2."/>
      <w:lvlJc w:val="left"/>
      <w:pPr>
        <w:ind w:left="1740" w:hanging="360"/>
      </w:pPr>
    </w:lvl>
    <w:lvl w:ilvl="2" w:tplc="0415001B">
      <w:start w:val="1"/>
      <w:numFmt w:val="lowerRoman"/>
      <w:lvlText w:val="%3."/>
      <w:lvlJc w:val="right"/>
      <w:pPr>
        <w:ind w:left="2460" w:hanging="180"/>
      </w:pPr>
    </w:lvl>
    <w:lvl w:ilvl="3" w:tplc="0415000F">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6" w15:restartNumberingAfterBreak="0">
    <w:nsid w:val="5D8912C4"/>
    <w:multiLevelType w:val="hybridMultilevel"/>
    <w:tmpl w:val="579431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A9A5EAA"/>
    <w:multiLevelType w:val="hybridMultilevel"/>
    <w:tmpl w:val="BF0A9A5C"/>
    <w:lvl w:ilvl="0" w:tplc="0A7C99C8">
      <w:start w:val="1"/>
      <w:numFmt w:val="lowerLetter"/>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1"/>
  </w:num>
  <w:num w:numId="5">
    <w:abstractNumId w:val="4"/>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8A0"/>
    <w:rsid w:val="00635BE3"/>
    <w:rsid w:val="007248A0"/>
    <w:rsid w:val="008E6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F8B20"/>
  <w15:chartTrackingRefBased/>
  <w15:docId w15:val="{56691CA1-7345-452C-B85A-34E04FA40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248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48A0"/>
  </w:style>
  <w:style w:type="paragraph" w:styleId="Stopka">
    <w:name w:val="footer"/>
    <w:basedOn w:val="Normalny"/>
    <w:link w:val="StopkaZnak"/>
    <w:uiPriority w:val="99"/>
    <w:unhideWhenUsed/>
    <w:rsid w:val="007248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248A0"/>
  </w:style>
  <w:style w:type="character" w:customStyle="1" w:styleId="Bodytext9">
    <w:name w:val="Body text (9)"/>
    <w:basedOn w:val="Domylnaczcionkaakapitu"/>
    <w:uiPriority w:val="99"/>
    <w:rsid w:val="00635BE3"/>
    <w:rPr>
      <w:rFonts w:ascii="Trebuchet MS" w:hAnsi="Trebuchet MS" w:cs="Trebuchet MS"/>
      <w:spacing w:val="0"/>
      <w:sz w:val="17"/>
      <w:szCs w:val="17"/>
    </w:rPr>
  </w:style>
  <w:style w:type="paragraph" w:styleId="Tekstprzypisudolnego">
    <w:name w:val="footnote text"/>
    <w:basedOn w:val="Normalny"/>
    <w:link w:val="TekstprzypisudolnegoZnak"/>
    <w:uiPriority w:val="99"/>
    <w:unhideWhenUsed/>
    <w:rsid w:val="00635BE3"/>
    <w:pPr>
      <w:spacing w:after="0" w:line="240" w:lineRule="auto"/>
    </w:pPr>
    <w:rPr>
      <w:rFonts w:ascii="Arial Unicode MS" w:eastAsia="Arial Unicode MS" w:hAnsi="Arial Unicode MS" w:cs="Arial Unicode MS"/>
      <w:color w:val="000000"/>
      <w:sz w:val="20"/>
      <w:szCs w:val="20"/>
      <w:lang w:eastAsia="pl-PL"/>
    </w:rPr>
  </w:style>
  <w:style w:type="character" w:customStyle="1" w:styleId="TekstprzypisudolnegoZnak">
    <w:name w:val="Tekst przypisu dolnego Znak"/>
    <w:basedOn w:val="Domylnaczcionkaakapitu"/>
    <w:link w:val="Tekstprzypisudolnego"/>
    <w:uiPriority w:val="99"/>
    <w:rsid w:val="00635BE3"/>
    <w:rPr>
      <w:rFonts w:ascii="Arial Unicode MS" w:eastAsia="Arial Unicode MS" w:hAnsi="Arial Unicode MS" w:cs="Arial Unicode MS"/>
      <w:color w:val="000000"/>
      <w:sz w:val="20"/>
      <w:szCs w:val="20"/>
      <w:lang w:eastAsia="pl-PL"/>
    </w:rPr>
  </w:style>
  <w:style w:type="character" w:styleId="Odwoanieprzypisudolnego">
    <w:name w:val="footnote reference"/>
    <w:basedOn w:val="Domylnaczcionkaakapitu"/>
    <w:uiPriority w:val="99"/>
    <w:semiHidden/>
    <w:unhideWhenUsed/>
    <w:rsid w:val="00635BE3"/>
    <w:rPr>
      <w:vertAlign w:val="superscript"/>
    </w:rPr>
  </w:style>
  <w:style w:type="paragraph" w:styleId="Akapitzlist">
    <w:name w:val="List Paragraph"/>
    <w:basedOn w:val="Normalny"/>
    <w:link w:val="AkapitzlistZnak"/>
    <w:uiPriority w:val="34"/>
    <w:qFormat/>
    <w:rsid w:val="008E6B6D"/>
    <w:pPr>
      <w:spacing w:after="0" w:line="240" w:lineRule="auto"/>
      <w:ind w:left="720"/>
      <w:contextualSpacing/>
    </w:pPr>
    <w:rPr>
      <w:rFonts w:ascii="Arial Unicode MS" w:eastAsia="Arial Unicode MS" w:hAnsi="Arial Unicode MS" w:cs="Arial Unicode MS"/>
      <w:color w:val="000000"/>
      <w:sz w:val="24"/>
      <w:szCs w:val="24"/>
      <w:lang w:eastAsia="pl-PL"/>
    </w:rPr>
  </w:style>
  <w:style w:type="character" w:customStyle="1" w:styleId="AkapitzlistZnak">
    <w:name w:val="Akapit z listą Znak"/>
    <w:basedOn w:val="Domylnaczcionkaakapitu"/>
    <w:link w:val="Akapitzlist"/>
    <w:uiPriority w:val="34"/>
    <w:rsid w:val="008E6B6D"/>
    <w:rPr>
      <w:rFonts w:ascii="Arial Unicode MS" w:eastAsia="Arial Unicode MS" w:hAnsi="Arial Unicode MS" w:cs="Arial Unicode M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1242</Words>
  <Characters>7458</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Bogusz</dc:creator>
  <cp:keywords/>
  <dc:description/>
  <cp:lastModifiedBy>Magdalena Bogusz</cp:lastModifiedBy>
  <cp:revision>3</cp:revision>
  <dcterms:created xsi:type="dcterms:W3CDTF">2025-04-15T07:29:00Z</dcterms:created>
  <dcterms:modified xsi:type="dcterms:W3CDTF">2025-12-11T12:38:00Z</dcterms:modified>
</cp:coreProperties>
</file>